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9F2F">
      <w:pPr>
        <w:jc w:val="center"/>
        <w:rPr>
          <w:rFonts w:ascii="仿宋" w:hAnsi="仿宋" w:eastAsia="仿宋" w:cs="仿宋"/>
          <w:b/>
          <w:sz w:val="36"/>
          <w:szCs w:val="36"/>
        </w:rPr>
      </w:pPr>
      <w:bookmarkStart w:id="0" w:name="OLE_LINK1"/>
      <w:bookmarkStart w:id="1" w:name="OLE_LINK2"/>
      <w:r>
        <w:rPr>
          <w:rFonts w:hint="eastAsia" w:ascii="仿宋" w:hAnsi="仿宋" w:eastAsia="仿宋" w:cs="仿宋"/>
          <w:b/>
          <w:sz w:val="36"/>
          <w:szCs w:val="36"/>
          <w:lang w:val="en-US" w:eastAsia="zh-CN"/>
        </w:rPr>
        <w:t>综合材料</w:t>
      </w:r>
      <w:r>
        <w:rPr>
          <w:rFonts w:hint="eastAsia" w:ascii="仿宋" w:hAnsi="仿宋" w:eastAsia="仿宋" w:cs="仿宋"/>
          <w:b/>
          <w:sz w:val="36"/>
          <w:szCs w:val="36"/>
        </w:rPr>
        <w:t>采购用户需求书</w:t>
      </w:r>
    </w:p>
    <w:p w14:paraId="10E183CA">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7B224CC1">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：东莞市石龙镇东风路敬老院周边片区老旧小区改造项目。</w:t>
      </w:r>
    </w:p>
    <w:p w14:paraId="46C1B454">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3"/>
      <w:bookmarkStart w:id="5" w:name="OLE_LINK14"/>
    </w:p>
    <w:tbl>
      <w:tblPr>
        <w:tblStyle w:val="8"/>
        <w:tblW w:w="82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08"/>
        <w:gridCol w:w="1923"/>
        <w:gridCol w:w="889"/>
        <w:gridCol w:w="2363"/>
      </w:tblGrid>
      <w:tr w14:paraId="5B1D0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34BA6A0D">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名称</w:t>
            </w:r>
          </w:p>
        </w:tc>
        <w:tc>
          <w:tcPr>
            <w:tcW w:w="1923"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4D7489F1">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规格型号（mm）</w:t>
            </w:r>
          </w:p>
        </w:tc>
        <w:tc>
          <w:tcPr>
            <w:tcW w:w="889"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5B8B7ABE">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单位</w:t>
            </w:r>
          </w:p>
        </w:tc>
        <w:tc>
          <w:tcPr>
            <w:tcW w:w="2363"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3C83AC5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r>
      <w:tr w14:paraId="07BF9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02A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铁皮板</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AB2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FA13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84D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2866.84 </w:t>
            </w:r>
          </w:p>
        </w:tc>
      </w:tr>
      <w:tr w14:paraId="39AC5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81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防滑砖</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0BA2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600×600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350F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6E7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3862.54 </w:t>
            </w:r>
          </w:p>
        </w:tc>
      </w:tr>
      <w:tr w14:paraId="1663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EFF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聚氨酯防水涂料</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89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双组份 I型</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2DF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kg</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7E76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9980.03 </w:t>
            </w:r>
          </w:p>
        </w:tc>
      </w:tr>
      <w:tr w14:paraId="62F4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B8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聚合物水泥防水涂料</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76CB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JS-II</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2C4E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kg</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A4A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64092.92 </w:t>
            </w:r>
          </w:p>
        </w:tc>
      </w:tr>
      <w:tr w14:paraId="7A78C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90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1.2</w:t>
            </w:r>
            <w:r>
              <w:rPr>
                <w:rFonts w:hint="eastAsia" w:ascii="宋体" w:hAnsi="宋体" w:eastAsia="宋体" w:cs="宋体"/>
                <w:i w:val="0"/>
                <w:iCs w:val="0"/>
                <w:color w:val="000000"/>
                <w:kern w:val="0"/>
                <w:sz w:val="24"/>
                <w:szCs w:val="24"/>
                <w:u w:val="none"/>
                <w:lang w:val="en-US" w:eastAsia="zh-CN" w:bidi="ar"/>
              </w:rPr>
              <w:t>厚合成高分子防水卷材</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E7FFF">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160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8EE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5523.62 </w:t>
            </w:r>
          </w:p>
        </w:tc>
      </w:tr>
      <w:tr w14:paraId="08CD4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DE0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聚合物乳液</w:t>
            </w:r>
          </w:p>
        </w:tc>
        <w:tc>
          <w:tcPr>
            <w:tcW w:w="19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89ED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聚合物防水砂浆</w:t>
            </w:r>
          </w:p>
        </w:tc>
        <w:tc>
          <w:tcPr>
            <w:tcW w:w="8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2746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kg</w:t>
            </w:r>
          </w:p>
        </w:tc>
        <w:tc>
          <w:tcPr>
            <w:tcW w:w="2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739D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55642.81 </w:t>
            </w:r>
          </w:p>
        </w:tc>
      </w:tr>
      <w:tr w14:paraId="2BCFD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4D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全铝合金百页</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47FB">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F5DA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053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2431.74 </w:t>
            </w:r>
          </w:p>
        </w:tc>
      </w:tr>
      <w:tr w14:paraId="04C00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D5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湿拌抹灰砂浆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1EB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一次抹灰厚度≥5mm M5</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9E2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261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41.39 </w:t>
            </w:r>
          </w:p>
        </w:tc>
      </w:tr>
      <w:tr w14:paraId="68D3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21B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湿拌抹灰砂浆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BD8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一次抹灰厚度≥5mm M10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893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11E8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67.63 </w:t>
            </w:r>
          </w:p>
        </w:tc>
      </w:tr>
      <w:tr w14:paraId="770E5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18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湿拌地面砂浆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441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地面普通找平 M15</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AED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54A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26.00 </w:t>
            </w:r>
          </w:p>
        </w:tc>
      </w:tr>
      <w:tr w14:paraId="7C72B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B10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湿拌地面砂浆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B47F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地面普通找平 M20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609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3D6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Arial" w:hAnsi="Arial" w:eastAsia="??" w:cs="Arial"/>
                <w:i w:val="0"/>
                <w:iCs w:val="0"/>
                <w:color w:val="000000"/>
                <w:kern w:val="0"/>
                <w:sz w:val="20"/>
                <w:szCs w:val="20"/>
                <w:u w:val="none"/>
                <w:lang w:val="en-US" w:eastAsia="zh-CN" w:bidi="ar"/>
              </w:rPr>
              <w:t xml:space="preserve">274.45 </w:t>
            </w:r>
          </w:p>
        </w:tc>
      </w:tr>
      <w:tr w14:paraId="2A682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C9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湿拌防水砂浆：P6</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2545C">
            <w:pPr>
              <w:keepNext w:val="0"/>
              <w:keepLines w:val="0"/>
              <w:widowControl/>
              <w:suppressLineNumbers w:val="0"/>
              <w:jc w:val="center"/>
              <w:textAlignment w:val="center"/>
              <w:rPr>
                <w:rFonts w:hint="default" w:ascii="Times New Roman" w:hAnsi="Times New Roman" w:eastAsia="宋体" w:cs="Times New Roman"/>
                <w:i w:val="0"/>
                <w:iCs w:val="0"/>
                <w:color w:val="262626"/>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用于抗渗压力要求的工程部位 M15</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4316">
            <w:pPr>
              <w:keepNext w:val="0"/>
              <w:keepLines w:val="0"/>
              <w:widowControl/>
              <w:suppressLineNumbers w:val="0"/>
              <w:jc w:val="center"/>
              <w:textAlignment w:val="center"/>
              <w:rPr>
                <w:rFonts w:hint="default" w:ascii="Times New Roman" w:hAnsi="Times New Roman" w:eastAsia="宋体" w:cs="Times New Roman"/>
                <w:i w:val="0"/>
                <w:iCs w:val="0"/>
                <w:color w:val="262626"/>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4EF6">
            <w:pPr>
              <w:keepNext w:val="0"/>
              <w:keepLines w:val="0"/>
              <w:widowControl/>
              <w:suppressLineNumbers w:val="0"/>
              <w:jc w:val="center"/>
              <w:textAlignment w:val="center"/>
              <w:rPr>
                <w:rFonts w:hint="default" w:ascii="Times New Roman" w:hAnsi="Times New Roman" w:eastAsia="宋体" w:cs="Times New Roman"/>
                <w:i w:val="0"/>
                <w:iCs w:val="0"/>
                <w:color w:val="262626"/>
                <w:sz w:val="24"/>
                <w:szCs w:val="24"/>
                <w:u w:val="none"/>
              </w:rPr>
            </w:pPr>
            <w:r>
              <w:rPr>
                <w:rFonts w:hint="default" w:ascii="Arial" w:hAnsi="Arial" w:eastAsia="??" w:cs="Arial"/>
                <w:i w:val="0"/>
                <w:iCs w:val="0"/>
                <w:color w:val="000000"/>
                <w:kern w:val="0"/>
                <w:sz w:val="20"/>
                <w:szCs w:val="20"/>
                <w:u w:val="none"/>
                <w:lang w:val="en-US" w:eastAsia="zh-CN" w:bidi="ar"/>
              </w:rPr>
              <w:t xml:space="preserve">145.18 </w:t>
            </w:r>
          </w:p>
        </w:tc>
      </w:tr>
      <w:tr w14:paraId="182B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7B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可视对讲住户分机</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0F7C1">
            <w:pPr>
              <w:jc w:val="center"/>
              <w:rPr>
                <w:rFonts w:hint="default" w:ascii="Times New Roman" w:hAnsi="Times New Roman" w:eastAsia="宋体" w:cs="Times New Roman"/>
                <w:i w:val="0"/>
                <w:iCs w:val="0"/>
                <w:color w:val="262626"/>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E4AB">
            <w:pPr>
              <w:keepNext w:val="0"/>
              <w:keepLines w:val="0"/>
              <w:widowControl/>
              <w:suppressLineNumbers w:val="0"/>
              <w:jc w:val="center"/>
              <w:textAlignment w:val="center"/>
              <w:rPr>
                <w:rFonts w:hint="default" w:ascii="Times New Roman" w:hAnsi="Times New Roman" w:eastAsia="宋体" w:cs="Times New Roman"/>
                <w:i w:val="0"/>
                <w:iCs w:val="0"/>
                <w:color w:val="262626"/>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台</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38DC2">
            <w:pPr>
              <w:keepNext w:val="0"/>
              <w:keepLines w:val="0"/>
              <w:widowControl/>
              <w:suppressLineNumbers w:val="0"/>
              <w:jc w:val="center"/>
              <w:textAlignment w:val="center"/>
              <w:rPr>
                <w:rFonts w:hint="default" w:ascii="Times New Roman" w:hAnsi="Times New Roman" w:eastAsia="宋体" w:cs="Times New Roman"/>
                <w:i w:val="0"/>
                <w:iCs w:val="0"/>
                <w:color w:val="262626"/>
                <w:sz w:val="24"/>
                <w:szCs w:val="24"/>
                <w:u w:val="none"/>
              </w:rPr>
            </w:pPr>
            <w:r>
              <w:rPr>
                <w:rFonts w:hint="default" w:ascii="Arial" w:hAnsi="Arial" w:eastAsia="??" w:cs="Arial"/>
                <w:i w:val="0"/>
                <w:iCs w:val="0"/>
                <w:color w:val="000000"/>
                <w:kern w:val="0"/>
                <w:sz w:val="20"/>
                <w:szCs w:val="20"/>
                <w:u w:val="none"/>
                <w:lang w:val="en-US" w:eastAsia="zh-CN" w:bidi="ar"/>
              </w:rPr>
              <w:t>280</w:t>
            </w:r>
          </w:p>
        </w:tc>
      </w:tr>
      <w:tr w14:paraId="7164D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F523">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AA512">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A7C7">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4716">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p>
        </w:tc>
      </w:tr>
    </w:tbl>
    <w:p w14:paraId="7321FF85">
      <w:pPr>
        <w:pStyle w:val="7"/>
        <w:spacing w:before="0" w:beforeAutospacing="0" w:after="0" w:afterAutospacing="0" w:line="360" w:lineRule="auto"/>
        <w:ind w:firstLine="480" w:firstLineChars="200"/>
        <w:rPr>
          <w:rFonts w:hint="eastAsia" w:ascii="仿宋" w:hAnsi="仿宋" w:eastAsia="仿宋" w:cs="仿宋"/>
        </w:rPr>
      </w:pPr>
    </w:p>
    <w:bookmarkEnd w:id="2"/>
    <w:bookmarkEnd w:id="3"/>
    <w:p w14:paraId="3D01EE04">
      <w:pPr>
        <w:pStyle w:val="7"/>
        <w:spacing w:before="0" w:beforeAutospacing="0" w:after="0" w:afterAutospacing="0" w:line="360" w:lineRule="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748ADC0B">
      <w:pPr>
        <w:pStyle w:val="7"/>
        <w:spacing w:before="0" w:beforeAutospacing="0" w:after="60" w:afterAutospacing="0" w:line="360" w:lineRule="auto"/>
        <w:rPr>
          <w:rFonts w:hint="eastAsia" w:ascii="仿宋" w:hAnsi="仿宋" w:eastAsia="仿宋" w:cs="仿宋"/>
        </w:rPr>
      </w:pPr>
      <w:r>
        <w:rPr>
          <w:rStyle w:val="11"/>
          <w:rFonts w:hint="eastAsia" w:ascii="仿宋" w:hAnsi="仿宋" w:eastAsia="仿宋" w:cs="仿宋"/>
          <w:lang w:val="en-US" w:eastAsia="zh-CN"/>
        </w:rPr>
        <w:t>供货周期</w:t>
      </w:r>
      <w:r>
        <w:rPr>
          <w:rFonts w:hint="eastAsia" w:ascii="仿宋" w:hAnsi="仿宋" w:eastAsia="仿宋" w:cs="仿宋"/>
        </w:rPr>
        <w:t>：开工日期：202</w:t>
      </w:r>
      <w:r>
        <w:rPr>
          <w:rFonts w:hint="eastAsia" w:ascii="仿宋" w:hAnsi="仿宋" w:eastAsia="仿宋" w:cs="仿宋"/>
          <w:lang w:val="en-US" w:eastAsia="zh-CN"/>
        </w:rPr>
        <w:t>6</w:t>
      </w:r>
      <w:r>
        <w:rPr>
          <w:rFonts w:hint="eastAsia" w:ascii="仿宋" w:hAnsi="仿宋" w:eastAsia="仿宋" w:cs="仿宋"/>
        </w:rPr>
        <w:t>年</w:t>
      </w:r>
      <w:r>
        <w:rPr>
          <w:rFonts w:hint="eastAsia" w:ascii="仿宋" w:hAnsi="仿宋" w:eastAsia="仿宋" w:cs="仿宋"/>
          <w:lang w:val="en-US" w:eastAsia="zh-CN"/>
        </w:rPr>
        <w:t>1</w:t>
      </w:r>
      <w:r>
        <w:rPr>
          <w:rFonts w:hint="eastAsia" w:ascii="仿宋" w:hAnsi="仿宋" w:eastAsia="仿宋" w:cs="仿宋"/>
        </w:rPr>
        <w:t>月</w:t>
      </w:r>
      <w:r>
        <w:rPr>
          <w:rFonts w:hint="eastAsia" w:ascii="仿宋" w:hAnsi="仿宋" w:eastAsia="仿宋" w:cs="仿宋"/>
          <w:lang w:val="en-US" w:eastAsia="zh-CN"/>
        </w:rPr>
        <w:t>25</w:t>
      </w:r>
      <w:r>
        <w:rPr>
          <w:rFonts w:hint="eastAsia" w:ascii="仿宋" w:hAnsi="仿宋" w:eastAsia="仿宋" w:cs="仿宋"/>
        </w:rPr>
        <w:t>日；完工日期：202</w:t>
      </w:r>
      <w:r>
        <w:rPr>
          <w:rFonts w:hint="eastAsia" w:ascii="仿宋" w:hAnsi="仿宋" w:eastAsia="仿宋" w:cs="仿宋"/>
          <w:lang w:val="en-US" w:eastAsia="zh-CN"/>
        </w:rPr>
        <w:t>6</w:t>
      </w:r>
      <w:r>
        <w:rPr>
          <w:rFonts w:hint="eastAsia" w:ascii="仿宋" w:hAnsi="仿宋" w:eastAsia="仿宋" w:cs="仿宋"/>
        </w:rPr>
        <w:t>年</w:t>
      </w:r>
      <w:r>
        <w:rPr>
          <w:rFonts w:hint="eastAsia" w:ascii="仿宋" w:hAnsi="仿宋" w:eastAsia="仿宋" w:cs="仿宋"/>
          <w:lang w:val="en-US" w:eastAsia="zh-CN"/>
        </w:rPr>
        <w:t>5</w:t>
      </w:r>
      <w:r>
        <w:rPr>
          <w:rFonts w:hint="eastAsia" w:ascii="仿宋" w:hAnsi="仿宋" w:eastAsia="仿宋" w:cs="仿宋"/>
        </w:rPr>
        <w:t>月</w:t>
      </w:r>
      <w:r>
        <w:rPr>
          <w:rFonts w:hint="eastAsia" w:ascii="仿宋" w:hAnsi="仿宋" w:eastAsia="仿宋" w:cs="仿宋"/>
          <w:lang w:val="en-US" w:eastAsia="zh-CN"/>
        </w:rPr>
        <w:t>14</w:t>
      </w:r>
      <w:r>
        <w:rPr>
          <w:rFonts w:hint="eastAsia" w:ascii="仿宋" w:hAnsi="仿宋" w:eastAsia="仿宋" w:cs="仿宋"/>
        </w:rPr>
        <w:t>日</w:t>
      </w:r>
    </w:p>
    <w:p w14:paraId="4521E4BD">
      <w:pPr>
        <w:pStyle w:val="7"/>
        <w:spacing w:before="0" w:beforeAutospacing="0" w:after="60" w:afterAutospacing="0" w:line="360" w:lineRule="auto"/>
        <w:ind w:firstLine="480" w:firstLineChars="200"/>
        <w:rPr>
          <w:rFonts w:hint="eastAsia" w:ascii="仿宋" w:hAnsi="仿宋" w:eastAsia="仿宋" w:cs="仿宋"/>
        </w:rPr>
      </w:pPr>
    </w:p>
    <w:p w14:paraId="2716A12F">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原材料要求</w:t>
      </w:r>
    </w:p>
    <w:p w14:paraId="675C51FD">
      <w:pPr>
        <w:spacing w:line="360" w:lineRule="auto"/>
        <w:ind w:firstLine="435"/>
        <w:rPr>
          <w:rFonts w:hint="eastAsia" w:ascii="仿宋" w:hAnsi="仿宋" w:eastAsia="仿宋"/>
          <w:sz w:val="24"/>
        </w:rPr>
      </w:pPr>
      <w:r>
        <w:rPr>
          <w:rFonts w:hint="eastAsia" w:ascii="仿宋" w:hAnsi="仿宋" w:eastAsia="仿宋"/>
          <w:sz w:val="24"/>
        </w:rPr>
        <w:t>1、本项目清单内包含的所有材料及结合现场实际所需用的材料,确保产品质量合格,需提供产品品牌、商标、规格、型号、技术质量验收报告、生产许可证等相关的技术质量资料。</w:t>
      </w:r>
    </w:p>
    <w:p w14:paraId="7F4E8304">
      <w:pPr>
        <w:spacing w:line="360" w:lineRule="auto"/>
        <w:ind w:firstLine="435"/>
        <w:rPr>
          <w:rFonts w:hint="default" w:ascii="仿宋" w:hAnsi="仿宋" w:eastAsia="仿宋"/>
          <w:sz w:val="24"/>
          <w:lang w:val="en-US" w:eastAsia="zh-CN"/>
        </w:rPr>
      </w:pPr>
      <w:r>
        <w:rPr>
          <w:rFonts w:hint="eastAsia" w:ascii="仿宋" w:hAnsi="仿宋" w:eastAsia="仿宋"/>
          <w:sz w:val="24"/>
          <w:lang w:val="en-US" w:eastAsia="zh-CN"/>
        </w:rPr>
        <w:t>2、密目式阻燃安全网：符合现行安全规范，</w:t>
      </w:r>
      <w:r>
        <w:rPr>
          <w:rFonts w:hint="eastAsia" w:ascii="仿宋" w:hAnsi="仿宋" w:eastAsia="仿宋"/>
          <w:sz w:val="24"/>
        </w:rPr>
        <w:t>即用打火机点3秒，移开后未能继续燃烧的，然后用打火机继续点十多秒点燃后移开，4秒内未能继续燃烧的，视为合格；对于不能达到以上要求的安全网，</w:t>
      </w:r>
      <w:r>
        <w:rPr>
          <w:rFonts w:hint="eastAsia" w:ascii="仿宋" w:hAnsi="仿宋" w:eastAsia="仿宋"/>
          <w:sz w:val="24"/>
          <w:lang w:val="en-US" w:eastAsia="zh-CN"/>
        </w:rPr>
        <w:t>立即进行退场</w:t>
      </w:r>
      <w:r>
        <w:rPr>
          <w:rFonts w:hint="eastAsia" w:ascii="仿宋" w:hAnsi="仿宋" w:eastAsia="仿宋"/>
          <w:sz w:val="24"/>
        </w:rPr>
        <w:t>，</w:t>
      </w:r>
      <w:r>
        <w:rPr>
          <w:rFonts w:hint="eastAsia" w:ascii="仿宋" w:hAnsi="仿宋" w:eastAsia="仿宋"/>
          <w:sz w:val="24"/>
          <w:lang w:val="en-US" w:eastAsia="zh-CN"/>
        </w:rPr>
        <w:t>不允许进行</w:t>
      </w:r>
      <w:r>
        <w:rPr>
          <w:rFonts w:hint="eastAsia" w:ascii="仿宋" w:hAnsi="仿宋" w:eastAsia="仿宋"/>
          <w:sz w:val="24"/>
        </w:rPr>
        <w:t>使用，更换合格的安全网</w:t>
      </w:r>
      <w:r>
        <w:rPr>
          <w:rFonts w:hint="eastAsia" w:ascii="仿宋" w:hAnsi="仿宋" w:eastAsia="仿宋"/>
          <w:sz w:val="24"/>
          <w:lang w:val="en-US" w:eastAsia="zh-CN"/>
        </w:rPr>
        <w:t>进场</w:t>
      </w:r>
      <w:r>
        <w:rPr>
          <w:rFonts w:hint="eastAsia" w:ascii="仿宋" w:hAnsi="仿宋" w:eastAsia="仿宋"/>
          <w:sz w:val="24"/>
        </w:rPr>
        <w:t>。</w:t>
      </w:r>
    </w:p>
    <w:p w14:paraId="4258620C">
      <w:pPr>
        <w:spacing w:line="360" w:lineRule="auto"/>
        <w:ind w:firstLine="435"/>
        <w:rPr>
          <w:rFonts w:ascii="仿宋" w:hAnsi="仿宋" w:eastAsia="仿宋"/>
          <w:sz w:val="24"/>
        </w:rPr>
      </w:pPr>
    </w:p>
    <w:p w14:paraId="2160EC93">
      <w:pPr>
        <w:pStyle w:val="3"/>
        <w:widowControl/>
        <w:spacing w:beforeAutospacing="0" w:line="360" w:lineRule="auto"/>
        <w:rPr>
          <w:rStyle w:val="11"/>
          <w:rFonts w:hint="default" w:ascii="仿宋" w:hAnsi="仿宋" w:eastAsia="仿宋" w:cs="仿宋"/>
          <w:b/>
          <w:bCs/>
          <w:sz w:val="28"/>
          <w:szCs w:val="28"/>
        </w:rPr>
      </w:pPr>
      <w:r>
        <w:rPr>
          <w:rFonts w:hint="eastAsia" w:ascii="仿宋" w:hAnsi="仿宋" w:eastAsia="仿宋"/>
          <w:b/>
          <w:sz w:val="28"/>
          <w:szCs w:val="28"/>
        </w:rPr>
        <w:t>三</w:t>
      </w:r>
      <w:r>
        <w:rPr>
          <w:rStyle w:val="11"/>
          <w:rFonts w:ascii="仿宋" w:hAnsi="仿宋" w:eastAsia="仿宋" w:cs="仿宋"/>
          <w:b/>
          <w:bCs/>
          <w:sz w:val="28"/>
          <w:szCs w:val="28"/>
        </w:rPr>
        <w:t>、安全文明施工要求</w:t>
      </w:r>
    </w:p>
    <w:p w14:paraId="323B3A0A">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538C7CD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0C70EDBB">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48E08521">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00A65AFE">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、施工配合要求</w:t>
      </w:r>
    </w:p>
    <w:bookmarkEnd w:id="0"/>
    <w:bookmarkEnd w:id="1"/>
    <w:p w14:paraId="75A08511">
      <w:pPr>
        <w:pStyle w:val="7"/>
        <w:spacing w:before="0" w:beforeAutospacing="0" w:after="0" w:afterAutospacing="0" w:line="360" w:lineRule="auto"/>
        <w:rPr>
          <w:rFonts w:hint="eastAsia" w:ascii="仿宋" w:hAnsi="仿宋" w:eastAsia="仿宋"/>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项目部下单，必须1</w:t>
      </w:r>
      <w:r>
        <w:rPr>
          <w:rFonts w:hint="eastAsia" w:ascii="仿宋" w:hAnsi="仿宋" w:eastAsia="仿宋"/>
          <w:lang w:val="en-US" w:eastAsia="zh-CN"/>
        </w:rPr>
        <w:t>5</w:t>
      </w:r>
      <w:r>
        <w:rPr>
          <w:rFonts w:hint="eastAsia" w:ascii="仿宋" w:hAnsi="仿宋" w:eastAsia="仿宋"/>
        </w:rPr>
        <w:t>天内到场，特殊情况需7天内进场；</w:t>
      </w:r>
    </w:p>
    <w:p w14:paraId="729BAA0E">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bookmarkStart w:id="6" w:name="_GoBack"/>
      <w:bookmarkEnd w:id="6"/>
    </w:p>
    <w:p w14:paraId="7F115869">
      <w:pPr>
        <w:pStyle w:val="7"/>
        <w:spacing w:before="0" w:beforeAutospacing="0" w:after="0" w:afterAutospacing="0" w:line="360" w:lineRule="auto"/>
        <w:rPr>
          <w:rFonts w:ascii="仿宋" w:hAnsi="仿宋" w:eastAsia="仿宋"/>
        </w:rPr>
      </w:pPr>
      <w:r>
        <w:rPr>
          <w:rFonts w:hint="eastAsia" w:ascii="仿宋" w:hAnsi="仿宋" w:eastAsia="仿宋"/>
        </w:rPr>
        <w:t>3、</w:t>
      </w:r>
      <w:r>
        <w:rPr>
          <w:rFonts w:ascii="仿宋" w:hAnsi="仿宋" w:eastAsia="仿宋"/>
        </w:rPr>
        <w:t>质量异常：到场发现批量色差/破损时，48小时内完成退换货；</w:t>
      </w:r>
    </w:p>
    <w:p w14:paraId="282DB9A2">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4</w:t>
      </w:r>
      <w:r>
        <w:rPr>
          <w:rFonts w:hint="eastAsia" w:ascii="仿宋" w:hAnsi="仿宋" w:eastAsia="仿宋"/>
        </w:rPr>
        <w:t>、</w:t>
      </w:r>
      <w:r>
        <w:rPr>
          <w:rFonts w:ascii="仿宋" w:hAnsi="仿宋" w:eastAsia="仿宋"/>
        </w:rPr>
        <w:t>供应商延迟到货：按合同价0.1%/天扣款，超3天启动应急采购；</w:t>
      </w:r>
    </w:p>
    <w:p w14:paraId="2DC8D8E5">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5</w:t>
      </w:r>
      <w:r>
        <w:rPr>
          <w:rFonts w:hint="eastAsia" w:ascii="仿宋" w:hAnsi="仿宋" w:eastAsia="仿宋"/>
        </w:rPr>
        <w:t>、</w:t>
      </w:r>
      <w:r>
        <w:rPr>
          <w:rFonts w:ascii="仿宋" w:hAnsi="仿宋" w:eastAsia="仿宋"/>
        </w:rPr>
        <w:t>路线规划：提前勘察道路限高/限宽，夜间运输避开市区高峰；</w:t>
      </w:r>
    </w:p>
    <w:p w14:paraId="35047BDB">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6</w:t>
      </w:r>
      <w:r>
        <w:rPr>
          <w:rFonts w:hint="eastAsia" w:ascii="仿宋" w:hAnsi="仿宋" w:eastAsia="仿宋"/>
        </w:rPr>
        <w:t>、</w:t>
      </w:r>
      <w:r>
        <w:rPr>
          <w:rFonts w:ascii="仿宋" w:hAnsi="仿宋" w:eastAsia="仿宋"/>
        </w:rPr>
        <w:t>到货通知：提前24小时发送货车车牌号、司机电话、预计抵达时间、货物清单及发货照片。</w:t>
      </w:r>
    </w:p>
    <w:p w14:paraId="56F15583">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7、材料照管：在货物移交给采购人并经采购人验收合格前，货物的损耗、毁损、灭失的风险和责任均由供应商自行承担。</w:t>
      </w:r>
    </w:p>
    <w:p w14:paraId="5825906E">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8、材料运输及卸货：材料运输及卸货过程中供应商需做好必要的材料的成品保护，材料到场后及时通知采购人进行材料验收，验收合格后安排人员、机械将材料进行卸货转运至指定地点。</w:t>
      </w:r>
    </w:p>
    <w:p w14:paraId="6986F6E3">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9、选型定样和材料检测：合同签订后供应商必须配合采购人7天内完成各品种、规格材料选型送样，无条件配合直至最终项目甲方、监理、设计验收合格签字确认。工程实施过程中也必须根据项目的检测方案无条件配合材料送检并保证合格。</w:t>
      </w:r>
    </w:p>
    <w:p w14:paraId="69981366">
      <w:pPr>
        <w:pStyle w:val="7"/>
        <w:spacing w:before="0" w:beforeAutospacing="0" w:after="0" w:afterAutospacing="0" w:line="360" w:lineRule="auto"/>
        <w:rPr>
          <w:rFonts w:hint="eastAsia" w:ascii="仿宋" w:hAnsi="仿宋" w:eastAsia="仿宋"/>
          <w:lang w:val="en-US" w:eastAsia="zh-CN"/>
        </w:rPr>
      </w:pPr>
    </w:p>
    <w:p w14:paraId="1BF3055E">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kMjViY2NkYzUzYTRkMjEyMGY3NTM3NjliYmIwMDUifQ=="/>
  </w:docVars>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31116FB"/>
    <w:rsid w:val="0C290216"/>
    <w:rsid w:val="0DF239EF"/>
    <w:rsid w:val="14A22215"/>
    <w:rsid w:val="1BCC09C4"/>
    <w:rsid w:val="268018CE"/>
    <w:rsid w:val="2E135EE4"/>
    <w:rsid w:val="2EA20D1C"/>
    <w:rsid w:val="359007FA"/>
    <w:rsid w:val="3E75078E"/>
    <w:rsid w:val="454750F0"/>
    <w:rsid w:val="63D76E38"/>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 w:type="character" w:customStyle="1" w:styleId="16">
    <w:name w:val="font11"/>
    <w:basedOn w:val="10"/>
    <w:uiPriority w:val="0"/>
    <w:rPr>
      <w:rFonts w:hint="eastAsia" w:ascii="宋体" w:hAnsi="宋体" w:eastAsia="宋体" w:cs="宋体"/>
      <w:color w:val="000000"/>
      <w:sz w:val="20"/>
      <w:szCs w:val="20"/>
      <w:u w:val="none"/>
    </w:rPr>
  </w:style>
  <w:style w:type="character" w:customStyle="1" w:styleId="17">
    <w:name w:val="font01"/>
    <w:basedOn w:val="10"/>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1456</Words>
  <Characters>1597</Characters>
  <Lines>37</Lines>
  <Paragraphs>10</Paragraphs>
  <TotalTime>8</TotalTime>
  <ScaleCrop>false</ScaleCrop>
  <LinksUpToDate>false</LinksUpToDate>
  <CharactersWithSpaces>1615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2026-01-13T12:06:36Z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eyJoZGlkIjoiZTczYmM1ZTkyNDNjYTViMTA2NDAwMDU4MzNiZDU4ZjgiLCJ1c2VySWQiOiIzNDgwMDA2NDgifQ==</vt:lpwstr>
  </property>
  <property fmtid="{D5CDD505-2E9C-101B-9397-08002B2CF9AE}" pid="3" name="KSOProductBuildVer">
    <vt:lpwstr>2052-12.1.0.24034</vt:lpwstr>
  </property>
  <property fmtid="{D5CDD505-2E9C-101B-9397-08002B2CF9AE}" pid="4" name="ICV">
    <vt:lpwstr>8367BC67ED624A2F850087B2C8490984_12</vt:lpwstr>
  </property>
</Properties>
</file>